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09" w:rsidRPr="00E34409" w:rsidRDefault="00E34409" w:rsidP="00E34409">
      <w:pPr>
        <w:spacing w:line="560" w:lineRule="exact"/>
        <w:ind w:firstLine="480"/>
        <w:rPr>
          <w:rFonts w:ascii="方正小标宋简体" w:eastAsia="方正小标宋简体" w:hAnsi="方正小标宋简体" w:cs="方正小标宋简体"/>
          <w:kern w:val="2"/>
          <w:sz w:val="24"/>
          <w:szCs w:val="36"/>
          <w:lang w:eastAsia="zh-CN" w:bidi="ar-SA"/>
        </w:rPr>
      </w:pPr>
      <w:bookmarkStart w:id="0" w:name="_Toc50620839"/>
      <w:r w:rsidRPr="00E34409">
        <w:rPr>
          <w:rFonts w:ascii="方正小标宋简体" w:eastAsia="方正小标宋简体" w:hAnsi="方正小标宋简体" w:cs="方正小标宋简体" w:hint="eastAsia"/>
          <w:kern w:val="2"/>
          <w:sz w:val="24"/>
          <w:szCs w:val="36"/>
          <w:lang w:eastAsia="zh-CN" w:bidi="ar-SA"/>
        </w:rPr>
        <w:t>附件1</w:t>
      </w:r>
    </w:p>
    <w:bookmarkEnd w:id="0"/>
    <w:p w:rsidR="00050782" w:rsidRPr="00A3248D" w:rsidRDefault="00050782" w:rsidP="00050782">
      <w:pPr>
        <w:spacing w:line="560" w:lineRule="exact"/>
        <w:ind w:left="640" w:firstLine="720"/>
        <w:jc w:val="center"/>
        <w:rPr>
          <w:rFonts w:ascii="方正小标宋简体" w:eastAsia="方正小标宋简体"/>
          <w:sz w:val="36"/>
          <w:szCs w:val="36"/>
          <w:lang w:eastAsia="zh-CN"/>
        </w:rPr>
      </w:pPr>
      <w:r w:rsidRPr="00A3248D">
        <w:rPr>
          <w:rFonts w:ascii="方正小标宋简体" w:eastAsia="方正小标宋简体" w:hint="eastAsia"/>
          <w:sz w:val="36"/>
          <w:szCs w:val="36"/>
          <w:lang w:eastAsia="zh-CN"/>
        </w:rPr>
        <w:t>2022年首都志愿服务项目大赛实施细则</w:t>
      </w:r>
      <w:bookmarkStart w:id="1" w:name="bookmark10"/>
      <w:bookmarkStart w:id="2" w:name="bookmark9"/>
      <w:bookmarkStart w:id="3" w:name="bookmark11"/>
    </w:p>
    <w:p w:rsidR="00050782" w:rsidRPr="00A3248D" w:rsidRDefault="00050782" w:rsidP="00050782">
      <w:pPr>
        <w:spacing w:line="560" w:lineRule="exact"/>
        <w:ind w:left="640" w:firstLine="720"/>
        <w:jc w:val="center"/>
        <w:rPr>
          <w:rFonts w:ascii="方正小标宋简体" w:eastAsia="方正小标宋简体"/>
          <w:sz w:val="36"/>
          <w:szCs w:val="36"/>
          <w:lang w:eastAsia="zh-CN"/>
        </w:rPr>
      </w:pPr>
    </w:p>
    <w:p w:rsidR="00050782" w:rsidRPr="00A3248D" w:rsidRDefault="00050782" w:rsidP="00050782">
      <w:pPr>
        <w:spacing w:line="560" w:lineRule="exact"/>
        <w:ind w:firstLine="600"/>
        <w:jc w:val="center"/>
        <w:rPr>
          <w:rFonts w:ascii="黑体" w:eastAsia="黑体" w:hAnsi="黑体"/>
          <w:sz w:val="30"/>
          <w:szCs w:val="30"/>
          <w:lang w:eastAsia="zh-CN"/>
        </w:rPr>
      </w:pPr>
      <w:r w:rsidRPr="00A3248D">
        <w:rPr>
          <w:rFonts w:ascii="黑体" w:eastAsia="黑体" w:hAnsi="黑体" w:hint="eastAsia"/>
          <w:sz w:val="30"/>
          <w:szCs w:val="30"/>
          <w:lang w:eastAsia="zh-CN"/>
        </w:rPr>
        <w:t>第一章</w:t>
      </w:r>
      <w:bookmarkEnd w:id="1"/>
      <w:bookmarkEnd w:id="2"/>
      <w:bookmarkEnd w:id="3"/>
      <w:r w:rsidRPr="00A3248D">
        <w:rPr>
          <w:rFonts w:ascii="黑体" w:eastAsia="黑体" w:hAnsi="黑体" w:hint="eastAsia"/>
          <w:sz w:val="30"/>
          <w:szCs w:val="30"/>
          <w:lang w:eastAsia="zh-CN"/>
        </w:rPr>
        <w:t xml:space="preserve"> 总  则</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第一条  为大力弘扬奉献、友爱、互助、进步的志愿精神，推动首都志愿服务事业和志愿服务组织发展，根据《2022年首都志愿服务项目大赛工作方案》，制定本细则。</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第二条  2022年首都志愿服务项目大赛（以下简称“项目大赛”）坚持专业、创新、公正、规范的原则，按照公开征集、三级评审、支持提升等环节进行。</w:t>
      </w:r>
    </w:p>
    <w:p w:rsidR="00050782" w:rsidRPr="00A3248D" w:rsidRDefault="00050782" w:rsidP="00050782">
      <w:pPr>
        <w:spacing w:line="560" w:lineRule="exact"/>
        <w:ind w:firstLine="600"/>
        <w:jc w:val="center"/>
        <w:rPr>
          <w:rFonts w:ascii="黑体" w:eastAsia="黑体" w:hAnsi="黑体"/>
          <w:sz w:val="30"/>
          <w:szCs w:val="30"/>
          <w:lang w:eastAsia="zh-CN"/>
        </w:rPr>
      </w:pPr>
      <w:bookmarkStart w:id="4" w:name="bookmark12"/>
      <w:bookmarkStart w:id="5" w:name="bookmark14"/>
      <w:bookmarkStart w:id="6" w:name="bookmark13"/>
      <w:r w:rsidRPr="00A3248D">
        <w:rPr>
          <w:rFonts w:ascii="黑体" w:eastAsia="黑体" w:hAnsi="黑体" w:hint="eastAsia"/>
          <w:sz w:val="30"/>
          <w:szCs w:val="30"/>
          <w:lang w:eastAsia="zh-CN"/>
        </w:rPr>
        <w:t>第二章 组织机构和评审机构</w:t>
      </w:r>
      <w:bookmarkEnd w:id="4"/>
      <w:bookmarkEnd w:id="5"/>
      <w:bookmarkEnd w:id="6"/>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第三条  项目大赛设立组织委员会、评审委员会和监督委员会。</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项目大赛组织委员会负责大赛筹备运行工作的总体规划、组织实施和统筹协调。各团区委、协办单位牵头建立区级和行业项目大赛组织机构。</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项目大赛评审委员会统筹负责参赛项目的各环节评审工作。下设市级、区级两级评审小组。</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评审监督委员会负责对各评审环节进行监督。</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第四条  项目大赛组织委员会秘书处设在北京市志愿服务联合会，代表组委会行使日常工作职能。</w:t>
      </w:r>
    </w:p>
    <w:p w:rsidR="00050782" w:rsidRPr="00A3248D" w:rsidRDefault="00050782" w:rsidP="00050782">
      <w:pPr>
        <w:spacing w:line="560" w:lineRule="exact"/>
        <w:ind w:firstLine="600"/>
        <w:jc w:val="center"/>
        <w:rPr>
          <w:rFonts w:ascii="黑体" w:eastAsia="黑体" w:hAnsi="黑体"/>
          <w:sz w:val="30"/>
          <w:szCs w:val="30"/>
          <w:lang w:eastAsia="zh-CN"/>
        </w:rPr>
      </w:pPr>
      <w:bookmarkStart w:id="7" w:name="bookmark16"/>
      <w:bookmarkStart w:id="8" w:name="bookmark15"/>
      <w:r w:rsidRPr="00A3248D">
        <w:rPr>
          <w:rFonts w:ascii="黑体" w:eastAsia="黑体" w:hAnsi="黑体" w:hint="eastAsia"/>
          <w:sz w:val="30"/>
          <w:szCs w:val="30"/>
          <w:lang w:eastAsia="zh-CN"/>
        </w:rPr>
        <w:t>第三章 项目申报</w:t>
      </w:r>
      <w:bookmarkEnd w:id="7"/>
      <w:bookmarkEnd w:id="8"/>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第五条  参赛项目必须具备以下条件：</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1.遵守法律法规，促进社会进步，推动公益事业，弘扬奉献、友爱、互助、进步的志愿精神，自愿向社会和他人提供服务。</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lastRenderedPageBreak/>
        <w:t>2.申报项目正在实施且已实施时间不少于4个月，申报项目单个实施周期在志愿北京平台记录时长不低于50小时。</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3.围绕新时代首都“志愿+项目”体系，结合北京志愿服务工作实践，本次大赛设置：文明实践、服务民生、社会治理、文化科技、国际交往、生态文明、卫生健康、安全应急、公益创业、其他领域等10类别：</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文明实践：</w:t>
      </w:r>
      <w:r w:rsidRPr="009A0C9F">
        <w:rPr>
          <w:rFonts w:ascii="仿宋_GB2312" w:hint="eastAsia"/>
          <w:sz w:val="30"/>
          <w:szCs w:val="30"/>
          <w:lang w:eastAsia="zh-CN"/>
        </w:rPr>
        <w:t>围绕科学理论传播、党的政策宣讲、政治文化建设、主流价值培育等方面，组织志愿者开展的红色主题服务、青年马克思主义者培养、文化生活促进、移风易俗改革等志愿服务项目。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服务民生：</w:t>
      </w:r>
      <w:r w:rsidRPr="009A0C9F">
        <w:rPr>
          <w:rFonts w:ascii="仿宋_GB2312" w:hint="eastAsia"/>
          <w:sz w:val="30"/>
          <w:szCs w:val="30"/>
          <w:lang w:eastAsia="zh-CN"/>
        </w:rPr>
        <w:t>以促进城市更新规划、社会体制改革、保障改善民生、疏解社会矛盾等领域建设为重点，围绕长者、残疾人、妇女儿童、新兴青年群体和其他有需要人群，在生活照料、邻里守望、关心关怀、帮扶提升等方面开展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社会治理：</w:t>
      </w:r>
      <w:r w:rsidRPr="009A0C9F">
        <w:rPr>
          <w:rFonts w:ascii="仿宋_GB2312" w:hint="eastAsia"/>
          <w:sz w:val="30"/>
          <w:szCs w:val="30"/>
          <w:lang w:eastAsia="zh-CN"/>
        </w:rPr>
        <w:t>以促进法制建设、“接诉即办”、城市管理等领域建设为重点，开展的普法宣教、法律咨询与援助、政务辅助、文明出行、食品药品安全、禁毒防艾等方面的志愿服务项目。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文化科技：</w:t>
      </w:r>
      <w:r w:rsidRPr="009A0C9F">
        <w:rPr>
          <w:rFonts w:ascii="仿宋_GB2312" w:hint="eastAsia"/>
          <w:sz w:val="30"/>
          <w:szCs w:val="30"/>
          <w:lang w:eastAsia="zh-CN"/>
        </w:rPr>
        <w:t>以促进经济建设、乡村振兴、教育改革、文化传播、科技创新等领域发展为重点，组织开展的“西部计划”、支教助学、传统文化传承、旅游咨询、技术创新等方面志愿服务。</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国际交往：</w:t>
      </w:r>
      <w:r w:rsidRPr="009A0C9F">
        <w:rPr>
          <w:rFonts w:ascii="仿宋_GB2312" w:hint="eastAsia"/>
          <w:sz w:val="30"/>
          <w:szCs w:val="30"/>
          <w:lang w:eastAsia="zh-CN"/>
        </w:rPr>
        <w:t>围绕国际传播能力建设、讲好中国故事、传播中国声音，推动“一带一路”和人类命运共同体建设等方面，在促进国际间合作、交流交往，服务国际语言环境建设，推动志愿服务组织能力提升，以及在京举办的大型活动保障等领域开展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生态文明：</w:t>
      </w:r>
      <w:r w:rsidRPr="009A0C9F">
        <w:rPr>
          <w:rFonts w:ascii="仿宋_GB2312" w:hint="eastAsia"/>
          <w:sz w:val="30"/>
          <w:szCs w:val="30"/>
          <w:lang w:eastAsia="zh-CN"/>
        </w:rPr>
        <w:t>围绕人与自然和谐共生，在节水护水、垃圾分类、保</w:t>
      </w:r>
      <w:r w:rsidRPr="009A0C9F">
        <w:rPr>
          <w:rFonts w:ascii="仿宋_GB2312" w:hint="eastAsia"/>
          <w:sz w:val="30"/>
          <w:szCs w:val="30"/>
          <w:lang w:eastAsia="zh-CN"/>
        </w:rPr>
        <w:lastRenderedPageBreak/>
        <w:t>护动植物、绿色生活、低碳减排、大气治理等环境和资源保护方面开展的志愿服务项目。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卫生健康：</w:t>
      </w:r>
      <w:r w:rsidRPr="009A0C9F">
        <w:rPr>
          <w:rFonts w:ascii="仿宋_GB2312" w:hint="eastAsia"/>
          <w:sz w:val="30"/>
          <w:szCs w:val="30"/>
          <w:lang w:eastAsia="zh-CN"/>
        </w:rPr>
        <w:t>以普及健康生活、优化健康服务、完善健康保障、建设健康环境，提高健康水平，改善健康公平为重点，在恤病助医、健康促进、无偿献血、疫情防控、应急救护、心理干预等方面开展的志愿服务项目。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安全应急：</w:t>
      </w:r>
      <w:r w:rsidRPr="009A0C9F">
        <w:rPr>
          <w:rFonts w:ascii="仿宋_GB2312" w:hint="eastAsia"/>
          <w:sz w:val="30"/>
          <w:szCs w:val="30"/>
          <w:lang w:eastAsia="zh-CN"/>
        </w:rPr>
        <w:t>围绕公共安全和防灾减灾救灾体系建设，在社会治安、网络安全和隐患排查、风险评估、应急救援、人道救助、善后恢复等方面开展的志愿服务项目。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公益创业：</w:t>
      </w:r>
      <w:r w:rsidRPr="009A0C9F">
        <w:rPr>
          <w:rFonts w:ascii="仿宋_GB2312" w:hint="eastAsia"/>
          <w:sz w:val="30"/>
          <w:szCs w:val="30"/>
          <w:lang w:eastAsia="zh-CN"/>
        </w:rPr>
        <w:t>以解决社会公共需求为使命，能够兼顾弘扬志愿精神，为志愿者就业创业实践提供机会和岗位，具有一定商业模式的公益创业项目。</w:t>
      </w:r>
    </w:p>
    <w:p w:rsidR="00050782" w:rsidRPr="009A0C9F" w:rsidRDefault="00050782" w:rsidP="00050782">
      <w:pPr>
        <w:spacing w:line="560" w:lineRule="exact"/>
        <w:ind w:firstLine="602"/>
        <w:rPr>
          <w:rFonts w:ascii="仿宋_GB2312"/>
          <w:sz w:val="30"/>
          <w:szCs w:val="30"/>
          <w:lang w:eastAsia="zh-CN"/>
        </w:rPr>
      </w:pPr>
      <w:r w:rsidRPr="009A0C9F">
        <w:rPr>
          <w:rFonts w:ascii="仿宋_GB2312" w:hint="eastAsia"/>
          <w:b/>
          <w:sz w:val="30"/>
          <w:szCs w:val="30"/>
          <w:lang w:eastAsia="zh-CN"/>
        </w:rPr>
        <w:t>其它领域：</w:t>
      </w:r>
      <w:r w:rsidRPr="009A0C9F">
        <w:rPr>
          <w:rFonts w:ascii="仿宋_GB2312" w:hint="eastAsia"/>
          <w:sz w:val="30"/>
          <w:szCs w:val="30"/>
          <w:lang w:eastAsia="zh-CN"/>
        </w:rPr>
        <w:t>以上类型不能涵盖的志愿服务项目。</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4.原则上往届全国青年志愿服务项目大赛金奖项目及2019年以后的北京市志愿服务项目大赛金奖项目不再申报。</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第六条  申报</w:t>
      </w:r>
      <w:r>
        <w:rPr>
          <w:rFonts w:ascii="仿宋_GB2312" w:hint="eastAsia"/>
          <w:sz w:val="30"/>
          <w:szCs w:val="30"/>
          <w:lang w:eastAsia="zh-CN"/>
        </w:rPr>
        <w:t>主体。在“志愿北京”平台注册且无不良记录的各级各类志愿服务组织</w:t>
      </w:r>
      <w:r w:rsidRPr="009A0C9F">
        <w:rPr>
          <w:rFonts w:ascii="仿宋_GB2312" w:hint="eastAsia"/>
          <w:sz w:val="30"/>
          <w:szCs w:val="30"/>
          <w:lang w:eastAsia="zh-CN"/>
        </w:rPr>
        <w:t>。</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第七条  申报方式。各申报单位需</w:t>
      </w:r>
      <w:r>
        <w:rPr>
          <w:rFonts w:ascii="仿宋_GB2312" w:hint="eastAsia"/>
          <w:sz w:val="30"/>
          <w:szCs w:val="30"/>
          <w:lang w:eastAsia="zh-CN"/>
        </w:rPr>
        <w:t>在规定时间内通过“志愿北京”平台进行参赛填报</w:t>
      </w:r>
      <w:r w:rsidRPr="009A0C9F">
        <w:rPr>
          <w:rFonts w:ascii="仿宋_GB2312" w:hint="eastAsia"/>
          <w:sz w:val="30"/>
          <w:szCs w:val="30"/>
          <w:lang w:eastAsia="zh-CN"/>
        </w:rPr>
        <w:t>。同一申报主体不允许重复申报服务项目，每个申报主体最多申报5个不同内容的项目，如发现参赛项目重复申报，以最前申报的项目为准。</w:t>
      </w:r>
    </w:p>
    <w:p w:rsidR="00050782" w:rsidRPr="00A3248D" w:rsidRDefault="00050782" w:rsidP="00050782">
      <w:pPr>
        <w:spacing w:line="560" w:lineRule="exact"/>
        <w:ind w:firstLine="600"/>
        <w:jc w:val="center"/>
        <w:rPr>
          <w:rFonts w:ascii="黑体" w:eastAsia="黑体" w:hAnsi="黑体"/>
          <w:sz w:val="30"/>
          <w:szCs w:val="30"/>
          <w:lang w:eastAsia="zh-CN"/>
        </w:rPr>
      </w:pPr>
      <w:bookmarkStart w:id="9" w:name="bookmark22"/>
      <w:bookmarkStart w:id="10" w:name="bookmark21"/>
      <w:bookmarkStart w:id="11" w:name="bookmark23"/>
      <w:r w:rsidRPr="00A3248D">
        <w:rPr>
          <w:rFonts w:ascii="黑体" w:eastAsia="黑体" w:hAnsi="黑体" w:hint="eastAsia"/>
          <w:sz w:val="30"/>
          <w:szCs w:val="30"/>
          <w:lang w:eastAsia="zh-CN"/>
        </w:rPr>
        <w:t xml:space="preserve">第四章 </w:t>
      </w:r>
      <w:bookmarkEnd w:id="9"/>
      <w:bookmarkEnd w:id="10"/>
      <w:bookmarkEnd w:id="11"/>
      <w:r w:rsidRPr="00A3248D">
        <w:rPr>
          <w:rFonts w:ascii="黑体" w:eastAsia="黑体" w:hAnsi="黑体" w:hint="eastAsia"/>
          <w:sz w:val="30"/>
          <w:szCs w:val="30"/>
          <w:lang w:eastAsia="zh-CN"/>
        </w:rPr>
        <w:t>评审环节设置</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第八条  项目大赛设初赛、复赛、决赛三个环节。</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第九条  初赛由各区级项目大赛组织机构、大赛协办单位按照有</w:t>
      </w:r>
      <w:r w:rsidRPr="009A0C9F">
        <w:rPr>
          <w:rFonts w:ascii="仿宋_GB2312" w:hint="eastAsia"/>
          <w:sz w:val="30"/>
          <w:szCs w:val="30"/>
          <w:lang w:eastAsia="zh-CN"/>
        </w:rPr>
        <w:lastRenderedPageBreak/>
        <w:t>关规定自行组织实施，区级评审小组和大赛协办单位评审小组对申报项目进行评审，择优推报参加复赛。评审监督委员会对初赛进行督导。</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第十条  复赛、决赛由项目大赛组委会负责组织实施，由市级评审小组进行评审，评审监督委员会对各评审环节进行监督。</w:t>
      </w:r>
    </w:p>
    <w:p w:rsidR="00050782" w:rsidRPr="00A3248D" w:rsidRDefault="00050782" w:rsidP="00050782">
      <w:pPr>
        <w:spacing w:line="560" w:lineRule="exact"/>
        <w:ind w:firstLine="600"/>
        <w:jc w:val="center"/>
        <w:rPr>
          <w:rFonts w:ascii="黑体" w:eastAsia="黑体" w:hAnsi="黑体"/>
          <w:sz w:val="30"/>
          <w:szCs w:val="30"/>
          <w:lang w:eastAsia="zh-CN"/>
        </w:rPr>
      </w:pPr>
      <w:bookmarkStart w:id="12" w:name="bookmark44"/>
      <w:bookmarkStart w:id="13" w:name="bookmark43"/>
      <w:bookmarkStart w:id="14" w:name="bookmark42"/>
      <w:bookmarkStart w:id="15" w:name="bookmark26"/>
      <w:bookmarkStart w:id="16" w:name="bookmark24"/>
      <w:bookmarkStart w:id="17" w:name="bookmark25"/>
      <w:r w:rsidRPr="00A3248D">
        <w:rPr>
          <w:rFonts w:ascii="黑体" w:eastAsia="黑体" w:hAnsi="黑体" w:hint="eastAsia"/>
          <w:sz w:val="30"/>
          <w:szCs w:val="30"/>
          <w:lang w:eastAsia="zh-CN"/>
        </w:rPr>
        <w:t>第五章 政策支持</w:t>
      </w:r>
      <w:bookmarkEnd w:id="12"/>
      <w:bookmarkEnd w:id="13"/>
      <w:bookmarkEnd w:id="14"/>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第十一条  项目大赛组委会向获奖项目颁发证书并在志愿北京平台进行标注。</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第十二条  项目大赛评选结果作为各区各系统推报参加首都学雷锋志愿服务“五个100”最佳志愿服务项目先进典型评选的重要依据。</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第十三条  择优推报获奖项目参加中国青年志愿服务项目大赛评选。</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第十四条  以适当形式对获奖项目进行培育指导，优秀志愿服务项目编入《北京市优秀志愿服务项目手册》，纳入优秀志愿服务项目库，并以适当形式进行宣传推介。</w:t>
      </w:r>
      <w:bookmarkStart w:id="18" w:name="bookmark47"/>
      <w:bookmarkStart w:id="19" w:name="bookmark46"/>
      <w:bookmarkStart w:id="20" w:name="bookmark45"/>
    </w:p>
    <w:p w:rsidR="00050782" w:rsidRPr="00A3248D" w:rsidRDefault="00050782" w:rsidP="00050782">
      <w:pPr>
        <w:spacing w:line="560" w:lineRule="exact"/>
        <w:ind w:firstLine="600"/>
        <w:jc w:val="center"/>
        <w:rPr>
          <w:rFonts w:ascii="黑体" w:eastAsia="黑体" w:hAnsi="黑体"/>
          <w:sz w:val="30"/>
          <w:szCs w:val="30"/>
          <w:lang w:eastAsia="zh-CN"/>
        </w:rPr>
      </w:pPr>
      <w:r w:rsidRPr="00A3248D">
        <w:rPr>
          <w:rFonts w:ascii="黑体" w:eastAsia="黑体" w:hAnsi="黑体" w:hint="eastAsia"/>
          <w:sz w:val="30"/>
          <w:szCs w:val="30"/>
          <w:lang w:eastAsia="zh-CN"/>
        </w:rPr>
        <w:t>第六章 监督管理</w:t>
      </w:r>
      <w:bookmarkEnd w:id="18"/>
      <w:bookmarkEnd w:id="19"/>
      <w:bookmarkEnd w:id="20"/>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第十五条  评审监督委员会按照职责对项目大赛各环节评审工作进行监督。</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第十六条  申报参赛项目及其团队核心成员中存在以下任一情况的，由项目大赛组委会取消其参赛资格：</w:t>
      </w:r>
    </w:p>
    <w:p w:rsidR="00050782" w:rsidRPr="009A0C9F" w:rsidRDefault="00050782" w:rsidP="00050782">
      <w:pPr>
        <w:spacing w:line="560" w:lineRule="exact"/>
        <w:ind w:left="640" w:firstLine="600"/>
        <w:rPr>
          <w:rFonts w:ascii="仿宋_GB2312"/>
          <w:sz w:val="30"/>
          <w:szCs w:val="30"/>
          <w:lang w:eastAsia="zh-CN"/>
        </w:rPr>
      </w:pPr>
      <w:bookmarkStart w:id="21" w:name="bookmark48"/>
      <w:bookmarkEnd w:id="21"/>
      <w:r w:rsidRPr="009A0C9F">
        <w:rPr>
          <w:rFonts w:ascii="仿宋_GB2312" w:hint="eastAsia"/>
          <w:sz w:val="30"/>
          <w:szCs w:val="30"/>
          <w:lang w:eastAsia="zh-CN"/>
        </w:rPr>
        <w:t>1.提供</w:t>
      </w:r>
      <w:bookmarkStart w:id="22" w:name="_GoBack"/>
      <w:bookmarkEnd w:id="22"/>
      <w:r w:rsidRPr="009A0C9F">
        <w:rPr>
          <w:rFonts w:ascii="仿宋_GB2312" w:hint="eastAsia"/>
          <w:sz w:val="30"/>
          <w:szCs w:val="30"/>
          <w:lang w:eastAsia="zh-CN"/>
        </w:rPr>
        <w:t>虚假信息的；</w:t>
      </w:r>
    </w:p>
    <w:p w:rsidR="00050782" w:rsidRPr="009A0C9F" w:rsidRDefault="00050782" w:rsidP="00050782">
      <w:pPr>
        <w:spacing w:line="560" w:lineRule="exact"/>
        <w:ind w:left="640" w:firstLine="600"/>
        <w:rPr>
          <w:rFonts w:ascii="仿宋_GB2312"/>
          <w:sz w:val="30"/>
          <w:szCs w:val="30"/>
          <w:lang w:eastAsia="zh-CN"/>
        </w:rPr>
      </w:pPr>
      <w:bookmarkStart w:id="23" w:name="bookmark49"/>
      <w:bookmarkEnd w:id="23"/>
      <w:r w:rsidRPr="009A0C9F">
        <w:rPr>
          <w:rFonts w:ascii="仿宋_GB2312" w:hint="eastAsia"/>
          <w:sz w:val="30"/>
          <w:szCs w:val="30"/>
          <w:lang w:eastAsia="zh-CN"/>
        </w:rPr>
        <w:t>2.违法、违纪问题或不当行为的；</w:t>
      </w:r>
    </w:p>
    <w:p w:rsidR="00050782" w:rsidRPr="009A0C9F" w:rsidRDefault="00050782" w:rsidP="00050782">
      <w:pPr>
        <w:spacing w:line="560" w:lineRule="exact"/>
        <w:ind w:left="640" w:firstLine="600"/>
        <w:rPr>
          <w:rFonts w:ascii="仿宋_GB2312"/>
          <w:sz w:val="30"/>
          <w:szCs w:val="30"/>
          <w:lang w:eastAsia="zh-CN"/>
        </w:rPr>
      </w:pPr>
      <w:r w:rsidRPr="009A0C9F">
        <w:rPr>
          <w:rFonts w:ascii="仿宋_GB2312" w:hint="eastAsia"/>
          <w:sz w:val="30"/>
          <w:szCs w:val="30"/>
          <w:lang w:eastAsia="zh-CN"/>
        </w:rPr>
        <w:t>3.涉嫌影响公正评审的。</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第十七条  项目大赛评审结束后，对获奖项目名单进行公示，接</w:t>
      </w:r>
      <w:r w:rsidRPr="009A0C9F">
        <w:rPr>
          <w:rFonts w:ascii="仿宋_GB2312" w:hint="eastAsia"/>
          <w:sz w:val="30"/>
          <w:szCs w:val="30"/>
          <w:lang w:eastAsia="zh-CN"/>
        </w:rPr>
        <w:lastRenderedPageBreak/>
        <w:t>受社会监督。</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第十八条  各级项目大赛组织机构采取多种方式加强对获奖项目及其组织的日常监督、跟踪服务和联系合作。</w:t>
      </w:r>
      <w:bookmarkStart w:id="24" w:name="bookmark51"/>
      <w:bookmarkStart w:id="25" w:name="bookmark52"/>
      <w:bookmarkStart w:id="26" w:name="bookmark50"/>
    </w:p>
    <w:p w:rsidR="00050782" w:rsidRPr="004951B5" w:rsidRDefault="00050782" w:rsidP="00050782">
      <w:pPr>
        <w:spacing w:line="560" w:lineRule="exact"/>
        <w:ind w:firstLine="600"/>
        <w:jc w:val="center"/>
        <w:rPr>
          <w:rFonts w:ascii="黑体" w:eastAsia="黑体" w:hAnsi="黑体"/>
          <w:sz w:val="30"/>
          <w:szCs w:val="30"/>
          <w:lang w:eastAsia="zh-CN"/>
        </w:rPr>
      </w:pPr>
      <w:r w:rsidRPr="004951B5">
        <w:rPr>
          <w:rFonts w:ascii="黑体" w:eastAsia="黑体" w:hAnsi="黑体" w:hint="eastAsia"/>
          <w:sz w:val="30"/>
          <w:szCs w:val="30"/>
          <w:lang w:eastAsia="zh-CN"/>
        </w:rPr>
        <w:t>第七章 附  则</w:t>
      </w:r>
      <w:bookmarkEnd w:id="24"/>
      <w:bookmarkEnd w:id="25"/>
      <w:bookmarkEnd w:id="26"/>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第十九条  本细则由项目大赛组委会秘书处负责解释。</w:t>
      </w:r>
    </w:p>
    <w:p w:rsidR="00050782" w:rsidRPr="009A0C9F" w:rsidRDefault="00050782" w:rsidP="00050782">
      <w:pPr>
        <w:spacing w:line="560" w:lineRule="exact"/>
        <w:ind w:firstLine="600"/>
        <w:rPr>
          <w:rFonts w:ascii="仿宋_GB2312"/>
          <w:sz w:val="30"/>
          <w:szCs w:val="30"/>
          <w:lang w:eastAsia="zh-CN"/>
        </w:rPr>
      </w:pPr>
      <w:r w:rsidRPr="009A0C9F">
        <w:rPr>
          <w:rFonts w:ascii="仿宋_GB2312" w:hint="eastAsia"/>
          <w:sz w:val="30"/>
          <w:szCs w:val="30"/>
          <w:lang w:eastAsia="zh-CN"/>
        </w:rPr>
        <w:t>第二十条  本细则自公布之日起执行。</w:t>
      </w:r>
      <w:bookmarkEnd w:id="15"/>
      <w:bookmarkEnd w:id="16"/>
      <w:bookmarkEnd w:id="17"/>
    </w:p>
    <w:p w:rsidR="00050782" w:rsidRPr="00A3248D" w:rsidRDefault="00050782" w:rsidP="00050782">
      <w:pPr>
        <w:spacing w:line="560" w:lineRule="exact"/>
        <w:ind w:left="640" w:firstLine="600"/>
        <w:rPr>
          <w:rFonts w:ascii="仿宋_GB2312"/>
          <w:sz w:val="30"/>
          <w:szCs w:val="30"/>
          <w:lang w:eastAsia="zh-CN"/>
        </w:rPr>
      </w:pPr>
    </w:p>
    <w:p w:rsidR="00050782" w:rsidRPr="00A3248D" w:rsidRDefault="00050782" w:rsidP="00050782">
      <w:pPr>
        <w:spacing w:line="560" w:lineRule="exact"/>
        <w:ind w:left="640" w:firstLine="600"/>
        <w:rPr>
          <w:rFonts w:ascii="仿宋_GB2312"/>
          <w:sz w:val="30"/>
          <w:szCs w:val="30"/>
          <w:lang w:eastAsia="zh-CN"/>
        </w:rPr>
      </w:pPr>
    </w:p>
    <w:p w:rsidR="00055839" w:rsidRPr="00050782" w:rsidRDefault="00055839" w:rsidP="00050782">
      <w:pPr>
        <w:spacing w:line="560" w:lineRule="exact"/>
        <w:ind w:left="640" w:firstLine="640"/>
        <w:jc w:val="center"/>
        <w:rPr>
          <w:lang w:eastAsia="zh-CN"/>
        </w:rPr>
      </w:pPr>
    </w:p>
    <w:sectPr w:rsidR="00055839" w:rsidRPr="00050782" w:rsidSect="00E34409">
      <w:headerReference w:type="even" r:id="rId7"/>
      <w:headerReference w:type="default" r:id="rId8"/>
      <w:footerReference w:type="even" r:id="rId9"/>
      <w:footerReference w:type="default" r:id="rId10"/>
      <w:headerReference w:type="first" r:id="rId11"/>
      <w:footerReference w:type="first" r:id="rId12"/>
      <w:pgSz w:w="11906" w:h="16838"/>
      <w:pgMar w:top="1588" w:right="1474" w:bottom="1474" w:left="147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C6" w:rsidRDefault="00A85EC6">
      <w:pPr>
        <w:spacing w:line="240" w:lineRule="auto"/>
        <w:ind w:firstLine="640"/>
      </w:pPr>
      <w:r>
        <w:separator/>
      </w:r>
    </w:p>
  </w:endnote>
  <w:endnote w:type="continuationSeparator" w:id="0">
    <w:p w:rsidR="00A85EC6" w:rsidRDefault="00A85EC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66" w:rsidRDefault="00A14066">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9" w:rsidRDefault="00B052E8">
    <w:pPr>
      <w:spacing w:line="1" w:lineRule="exact"/>
      <w:ind w:firstLine="640"/>
    </w:pPr>
    <w:r>
      <w:rPr>
        <w:noProof/>
        <w:lang w:eastAsia="zh-CN" w:bidi="ar-SA"/>
      </w:rPr>
      <mc:AlternateContent>
        <mc:Choice Requires="wps">
          <w:drawing>
            <wp:anchor distT="0" distB="0" distL="114300" distR="114300" simplePos="0" relativeHeight="251660288" behindDoc="1" locked="0" layoutInCell="1" allowOverlap="1">
              <wp:simplePos x="0" y="0"/>
              <wp:positionH relativeFrom="page">
                <wp:posOffset>6271260</wp:posOffset>
              </wp:positionH>
              <wp:positionV relativeFrom="page">
                <wp:posOffset>9964420</wp:posOffset>
              </wp:positionV>
              <wp:extent cx="270510" cy="368300"/>
              <wp:effectExtent l="0" t="0" r="0" b="0"/>
              <wp:wrapNone/>
              <wp:docPr id="22" name="Shape 90"/>
              <wp:cNvGraphicFramePr/>
              <a:graphic xmlns:a="http://schemas.openxmlformats.org/drawingml/2006/main">
                <a:graphicData uri="http://schemas.microsoft.com/office/word/2010/wordprocessingShape">
                  <wps:wsp>
                    <wps:cNvSpPr txBox="1"/>
                    <wps:spPr>
                      <a:xfrm>
                        <a:off x="0" y="0"/>
                        <a:ext cx="270510" cy="368300"/>
                      </a:xfrm>
                      <a:prstGeom prst="rect">
                        <a:avLst/>
                      </a:prstGeom>
                      <a:noFill/>
                      <a:ln>
                        <a:noFill/>
                      </a:ln>
                      <a:effectLst/>
                    </wps:spPr>
                    <wps:txbx>
                      <w:txbxContent>
                        <w:p w:rsidR="00055839" w:rsidRDefault="00B052E8">
                          <w:pPr>
                            <w:pStyle w:val="Headerorfooter1"/>
                            <w:ind w:firstLine="340"/>
                          </w:pPr>
                          <w:r>
                            <w:fldChar w:fldCharType="begin"/>
                          </w:r>
                          <w:r>
                            <w:instrText xml:space="preserve"> PAGE \* MERGEFORMAT </w:instrText>
                          </w:r>
                          <w:r>
                            <w:fldChar w:fldCharType="separate"/>
                          </w:r>
                          <w:r w:rsidR="00050782" w:rsidRPr="00050782">
                            <w:rPr>
                              <w:rFonts w:ascii="Times New Roman" w:eastAsia="Times New Roman" w:hAnsi="Times New Roman" w:cs="Times New Roman"/>
                              <w:noProof/>
                            </w:rPr>
                            <w:t>4</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26" type="#_x0000_t202" style="position:absolute;left:0;text-align:left;margin-left:493.8pt;margin-top:784.6pt;width:21.3pt;height:29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" filled="f" stroked="f">
              <v:textbox style="mso-fit-shape-to-text:t" inset="0,0,0,0">
                <w:txbxContent>
                  <w:p w:rsidR="00055839" w:rsidRDefault="00B052E8">
                    <w:pPr>
                      <w:pStyle w:val="Headerorfooter1"/>
                      <w:ind w:firstLine="340"/>
                    </w:pPr>
                    <w:r>
                      <w:fldChar w:fldCharType="begin"/>
                    </w:r>
                    <w:r>
                      <w:instrText xml:space="preserve"> PAGE \* MERGEFORMAT </w:instrText>
                    </w:r>
                    <w:r>
                      <w:fldChar w:fldCharType="separate"/>
                    </w:r>
                    <w:r w:rsidR="00050782" w:rsidRPr="00050782">
                      <w:rPr>
                        <w:rFonts w:ascii="Times New Roman" w:eastAsia="Times New Roman" w:hAnsi="Times New Roman" w:cs="Times New Roman"/>
                        <w:noProof/>
                      </w:rPr>
                      <w:t>4</w:t>
                    </w:r>
                    <w:r>
                      <w:rPr>
                        <w:rFonts w:ascii="Times New Roman" w:eastAsia="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66" w:rsidRDefault="00A14066">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C6" w:rsidRDefault="00A85EC6">
      <w:pPr>
        <w:spacing w:line="240" w:lineRule="auto"/>
        <w:ind w:firstLine="640"/>
      </w:pPr>
      <w:r>
        <w:separator/>
      </w:r>
    </w:p>
  </w:footnote>
  <w:footnote w:type="continuationSeparator" w:id="0">
    <w:p w:rsidR="00A85EC6" w:rsidRDefault="00A85EC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66" w:rsidRDefault="00A14066">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9" w:rsidRDefault="00B052E8">
    <w:pPr>
      <w:spacing w:line="1" w:lineRule="exact"/>
      <w:ind w:firstLine="640"/>
    </w:pPr>
    <w:r>
      <w:rPr>
        <w:noProof/>
        <w:lang w:eastAsia="zh-CN" w:bidi="ar-SA"/>
      </w:rPr>
      <mc:AlternateContent>
        <mc:Choice Requires="wps">
          <w:drawing>
            <wp:anchor distT="0" distB="0" distL="114300" distR="114300" simplePos="0" relativeHeight="251659264" behindDoc="1" locked="0" layoutInCell="1" allowOverlap="1">
              <wp:simplePos x="0" y="0"/>
              <wp:positionH relativeFrom="page">
                <wp:posOffset>1092835</wp:posOffset>
              </wp:positionH>
              <wp:positionV relativeFrom="page">
                <wp:posOffset>710565</wp:posOffset>
              </wp:positionV>
              <wp:extent cx="5312410" cy="0"/>
              <wp:effectExtent l="0" t="0" r="0" b="0"/>
              <wp:wrapNone/>
              <wp:docPr id="17" name="Shape 89"/>
              <wp:cNvGraphicFramePr/>
              <a:graphic xmlns:a="http://schemas.openxmlformats.org/drawingml/2006/main">
                <a:graphicData uri="http://schemas.microsoft.com/office/word/2010/wordprocessingShape">
                  <wps:wsp>
                    <wps:cNvCnPr/>
                    <wps:spPr>
                      <a:xfrm>
                        <a:off x="0" y="0"/>
                        <a:ext cx="5312410" cy="0"/>
                      </a:xfrm>
                      <a:prstGeom prst="straightConnector1">
                        <a:avLst/>
                      </a:prstGeom>
                      <a:ln w="12700">
                        <a:solidFill>
                          <a:srgbClr val="FFFFFF"/>
                        </a:solidFill>
                      </a:ln>
                      <a:effectLst/>
                    </wps:spPr>
                    <wps:bodyPr/>
                  </wps:wsp>
                </a:graphicData>
              </a:graphic>
            </wp:anchor>
          </w:drawing>
        </mc:Choice>
        <mc:Fallback>
          <w:pict>
            <v:shapetype w14:anchorId="6300AE65" id="_x0000_t32" coordsize="21600,21600" o:spt="32" o:oned="t" path="m,l21600,21600e" filled="f">
              <v:path arrowok="t" fillok="f" o:connecttype="none"/>
              <o:lock v:ext="edit" shapetype="t"/>
            </v:shapetype>
            <v:shape id="Shape 89" o:spid="_x0000_s1026" type="#_x0000_t32" style="position:absolute;left:0;text-align:left;margin-left:86.05pt;margin-top:55.95pt;width:418.3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" strokecolor="white" strokeweight="1pt">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66" w:rsidRDefault="00A14066">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251EC"/>
    <w:rsid w:val="00050782"/>
    <w:rsid w:val="00055839"/>
    <w:rsid w:val="000D484A"/>
    <w:rsid w:val="000F7FA1"/>
    <w:rsid w:val="00123F1C"/>
    <w:rsid w:val="00216A56"/>
    <w:rsid w:val="00347138"/>
    <w:rsid w:val="00363192"/>
    <w:rsid w:val="003E178F"/>
    <w:rsid w:val="004021F8"/>
    <w:rsid w:val="00532C4E"/>
    <w:rsid w:val="00635B2B"/>
    <w:rsid w:val="00655477"/>
    <w:rsid w:val="00671136"/>
    <w:rsid w:val="00705274"/>
    <w:rsid w:val="00733ED6"/>
    <w:rsid w:val="007A6072"/>
    <w:rsid w:val="007D2064"/>
    <w:rsid w:val="00866C75"/>
    <w:rsid w:val="00945CF2"/>
    <w:rsid w:val="009534CD"/>
    <w:rsid w:val="009773AC"/>
    <w:rsid w:val="00A14066"/>
    <w:rsid w:val="00A706E6"/>
    <w:rsid w:val="00A85EC6"/>
    <w:rsid w:val="00B052E8"/>
    <w:rsid w:val="00B414AE"/>
    <w:rsid w:val="00BC3D87"/>
    <w:rsid w:val="00BD1124"/>
    <w:rsid w:val="00D31DC7"/>
    <w:rsid w:val="00D57BAA"/>
    <w:rsid w:val="00D64856"/>
    <w:rsid w:val="00D64C84"/>
    <w:rsid w:val="00D91D9B"/>
    <w:rsid w:val="00E21740"/>
    <w:rsid w:val="00E34409"/>
    <w:rsid w:val="00E43647"/>
    <w:rsid w:val="00E63931"/>
    <w:rsid w:val="00E9691F"/>
    <w:rsid w:val="00F7002C"/>
    <w:rsid w:val="00F77CD3"/>
    <w:rsid w:val="00FE6E61"/>
    <w:rsid w:val="01435E95"/>
    <w:rsid w:val="02846485"/>
    <w:rsid w:val="04091381"/>
    <w:rsid w:val="06592DA1"/>
    <w:rsid w:val="07732EB0"/>
    <w:rsid w:val="079D67E6"/>
    <w:rsid w:val="08870D5E"/>
    <w:rsid w:val="09692B3D"/>
    <w:rsid w:val="0A3C175B"/>
    <w:rsid w:val="0B7F2A5E"/>
    <w:rsid w:val="0BA35CB3"/>
    <w:rsid w:val="0E410B7D"/>
    <w:rsid w:val="10E7520E"/>
    <w:rsid w:val="12742273"/>
    <w:rsid w:val="13B8648E"/>
    <w:rsid w:val="19342C98"/>
    <w:rsid w:val="1A064DC3"/>
    <w:rsid w:val="1DCB3E59"/>
    <w:rsid w:val="25CC75C6"/>
    <w:rsid w:val="28855F4A"/>
    <w:rsid w:val="2B226F9E"/>
    <w:rsid w:val="2C4E5228"/>
    <w:rsid w:val="2C5251EC"/>
    <w:rsid w:val="2E3D730B"/>
    <w:rsid w:val="2E5B5C8D"/>
    <w:rsid w:val="2EEC7E61"/>
    <w:rsid w:val="2EF40391"/>
    <w:rsid w:val="30692291"/>
    <w:rsid w:val="31AF476C"/>
    <w:rsid w:val="332648C5"/>
    <w:rsid w:val="343A6B0B"/>
    <w:rsid w:val="38422D08"/>
    <w:rsid w:val="388A6317"/>
    <w:rsid w:val="3A805F98"/>
    <w:rsid w:val="3AE85FED"/>
    <w:rsid w:val="3B846307"/>
    <w:rsid w:val="3BD50507"/>
    <w:rsid w:val="3F98623D"/>
    <w:rsid w:val="3FF307AC"/>
    <w:rsid w:val="41467EF7"/>
    <w:rsid w:val="415A527A"/>
    <w:rsid w:val="45FB1000"/>
    <w:rsid w:val="498D3441"/>
    <w:rsid w:val="4A9730D6"/>
    <w:rsid w:val="4AB31AF2"/>
    <w:rsid w:val="534E7BD3"/>
    <w:rsid w:val="54FC5092"/>
    <w:rsid w:val="5A3B77AD"/>
    <w:rsid w:val="5B300E32"/>
    <w:rsid w:val="5D866EC2"/>
    <w:rsid w:val="619E2C3C"/>
    <w:rsid w:val="61DE17BB"/>
    <w:rsid w:val="622C3DBE"/>
    <w:rsid w:val="633C1756"/>
    <w:rsid w:val="67FF5C2C"/>
    <w:rsid w:val="68C442D6"/>
    <w:rsid w:val="68E25471"/>
    <w:rsid w:val="6CB94F9A"/>
    <w:rsid w:val="6DC86B84"/>
    <w:rsid w:val="6E370EFA"/>
    <w:rsid w:val="6F7265DB"/>
    <w:rsid w:val="6FE714ED"/>
    <w:rsid w:val="704076BF"/>
    <w:rsid w:val="729F079B"/>
    <w:rsid w:val="742854C5"/>
    <w:rsid w:val="76FF6F2F"/>
    <w:rsid w:val="7C8A24A5"/>
    <w:rsid w:val="7D134C98"/>
    <w:rsid w:val="7DE9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9D090-6686-4B6D-82AF-B9EC5A36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883"/>
    </w:pPr>
    <w:rPr>
      <w:rFonts w:eastAsia="仿宋_GB2312"/>
      <w:color w:val="000000"/>
      <w:sz w:val="32"/>
      <w:szCs w:val="24"/>
      <w:lang w:eastAsia="en-US" w:bidi="en-US"/>
    </w:rPr>
  </w:style>
  <w:style w:type="paragraph" w:styleId="1">
    <w:name w:val="heading 1"/>
    <w:basedOn w:val="a"/>
    <w:next w:val="a"/>
    <w:qFormat/>
    <w:pPr>
      <w:keepNext/>
      <w:keepLines/>
      <w:spacing w:before="340" w:after="330" w:line="578" w:lineRule="auto"/>
      <w:outlineLvl w:val="0"/>
    </w:pPr>
    <w:rPr>
      <w:rFonts w:eastAsia="方正小标宋简体"/>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unhideWhenUsed/>
    <w:qFormat/>
    <w:pPr>
      <w:keepNext/>
      <w:keepLines/>
      <w:spacing w:before="260" w:after="260" w:line="413" w:lineRule="auto"/>
      <w:outlineLvl w:val="2"/>
    </w:pPr>
    <w:rPr>
      <w:b/>
    </w:rPr>
  </w:style>
  <w:style w:type="paragraph" w:styleId="4">
    <w:name w:val="heading 4"/>
    <w:basedOn w:val="a"/>
    <w:next w:val="a"/>
    <w:unhideWhenUsed/>
    <w:qFormat/>
    <w:pPr>
      <w:keepNext/>
      <w:keepLines/>
      <w:spacing w:before="280" w:after="290" w:line="372" w:lineRule="auto"/>
      <w:jc w:val="center"/>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autoSpaceDE w:val="0"/>
      <w:autoSpaceDN w:val="0"/>
    </w:pPr>
    <w:rPr>
      <w:rFonts w:ascii="宋体" w:eastAsia="宋体" w:hAnsi="宋体" w:cs="宋体"/>
      <w:color w:val="auto"/>
      <w:sz w:val="30"/>
      <w:szCs w:val="30"/>
      <w:lang w:eastAsia="zh-CN" w:bidi="ar-SA"/>
    </w:rPr>
  </w:style>
  <w:style w:type="paragraph" w:styleId="a5">
    <w:name w:val="Body Text Indent"/>
    <w:basedOn w:val="a"/>
    <w:qFormat/>
    <w:pPr>
      <w:spacing w:after="120"/>
      <w:ind w:leftChars="200" w:left="420"/>
    </w:pPr>
  </w:style>
  <w:style w:type="paragraph" w:styleId="a6">
    <w:name w:val="Balloon Text"/>
    <w:basedOn w:val="a"/>
    <w:link w:val="Char"/>
    <w:qFormat/>
    <w:pPr>
      <w:spacing w:line="240" w:lineRule="auto"/>
    </w:pPr>
    <w:rPr>
      <w:rFonts w:ascii="Helvetica" w:hAnsi="Helvetica"/>
      <w:sz w:val="18"/>
      <w:szCs w:val="18"/>
    </w:rPr>
  </w:style>
  <w:style w:type="paragraph" w:styleId="a7">
    <w:name w:val="Title"/>
    <w:basedOn w:val="a"/>
    <w:qFormat/>
    <w:pPr>
      <w:spacing w:before="240" w:after="60"/>
      <w:jc w:val="center"/>
      <w:outlineLvl w:val="0"/>
    </w:pPr>
    <w:rPr>
      <w:rFonts w:ascii="方正小标宋_GBK" w:hAnsi="方正小标宋_GBK"/>
      <w:b/>
      <w:sz w:val="44"/>
    </w:rPr>
  </w:style>
  <w:style w:type="paragraph" w:styleId="20">
    <w:name w:val="Body Text First Indent 2"/>
    <w:basedOn w:val="a5"/>
    <w:qFormat/>
    <w:pPr>
      <w:ind w:firstLine="420"/>
    </w:pPr>
  </w:style>
  <w:style w:type="character" w:styleId="a8">
    <w:name w:val="annotation reference"/>
    <w:basedOn w:val="a0"/>
    <w:qFormat/>
    <w:rPr>
      <w:sz w:val="21"/>
      <w:szCs w:val="21"/>
    </w:rPr>
  </w:style>
  <w:style w:type="paragraph" w:customStyle="1" w:styleId="a9">
    <w:name w:val="志愿_正文"/>
    <w:basedOn w:val="a"/>
    <w:link w:val="Char0"/>
    <w:qFormat/>
    <w:pPr>
      <w:ind w:firstLine="880"/>
    </w:pPr>
    <w:rPr>
      <w:rFonts w:ascii="仿宋_GB2312" w:hAnsi="仿宋_GB2312"/>
    </w:rPr>
  </w:style>
  <w:style w:type="character" w:customStyle="1" w:styleId="Char0">
    <w:name w:val="志愿_正文 Char"/>
    <w:link w:val="a9"/>
    <w:qFormat/>
    <w:rPr>
      <w:rFonts w:ascii="仿宋_GB2312" w:eastAsia="仿宋_GB2312" w:hAnsi="仿宋_GB2312" w:cs="Times New Roman"/>
      <w:sz w:val="32"/>
    </w:rPr>
  </w:style>
  <w:style w:type="paragraph" w:customStyle="1" w:styleId="aa">
    <w:name w:val="志愿_头"/>
    <w:basedOn w:val="20"/>
    <w:qFormat/>
    <w:pPr>
      <w:spacing w:line="560" w:lineRule="exact"/>
      <w:ind w:leftChars="0" w:left="0"/>
    </w:pPr>
  </w:style>
  <w:style w:type="paragraph" w:customStyle="1" w:styleId="ab">
    <w:name w:val="志愿_标题"/>
    <w:basedOn w:val="a7"/>
    <w:qFormat/>
    <w:rPr>
      <w:rFonts w:ascii="Arial" w:eastAsia="方正小标宋简体" w:hAnsi="Arial"/>
      <w:b w:val="0"/>
    </w:rPr>
  </w:style>
  <w:style w:type="paragraph" w:customStyle="1" w:styleId="ac">
    <w:name w:val="志愿_编号一层"/>
    <w:basedOn w:val="a9"/>
    <w:link w:val="Char1"/>
    <w:qFormat/>
    <w:rPr>
      <w:rFonts w:eastAsia="黑体"/>
    </w:rPr>
  </w:style>
  <w:style w:type="character" w:customStyle="1" w:styleId="Char1">
    <w:name w:val="志愿_编号一层 Char"/>
    <w:link w:val="ac"/>
    <w:qFormat/>
    <w:rPr>
      <w:rFonts w:eastAsia="黑体"/>
    </w:rPr>
  </w:style>
  <w:style w:type="paragraph" w:customStyle="1" w:styleId="ad">
    <w:name w:val="志愿_编号第二层"/>
    <w:basedOn w:val="a9"/>
    <w:link w:val="Char2"/>
    <w:qFormat/>
    <w:rPr>
      <w:rFonts w:eastAsia="楷体"/>
    </w:rPr>
  </w:style>
  <w:style w:type="character" w:customStyle="1" w:styleId="Char2">
    <w:name w:val="志愿_编号第二层 Char"/>
    <w:link w:val="ad"/>
    <w:qFormat/>
    <w:rPr>
      <w:rFonts w:eastAsia="楷体"/>
    </w:rPr>
  </w:style>
  <w:style w:type="paragraph" w:customStyle="1" w:styleId="Bodytext1">
    <w:name w:val="Body text|1"/>
    <w:basedOn w:val="a"/>
    <w:qFormat/>
    <w:pPr>
      <w:spacing w:after="100" w:line="480" w:lineRule="auto"/>
    </w:pPr>
    <w:rPr>
      <w:rFonts w:ascii="宋体" w:eastAsia="宋体" w:hAnsi="宋体" w:cs="宋体"/>
      <w:color w:val="auto"/>
      <w:kern w:val="2"/>
      <w:sz w:val="26"/>
      <w:szCs w:val="26"/>
      <w:lang w:val="zh-TW" w:eastAsia="zh-TW" w:bidi="zh-TW"/>
    </w:rPr>
  </w:style>
  <w:style w:type="paragraph" w:customStyle="1" w:styleId="Tablecaption1">
    <w:name w:val="Table caption|1"/>
    <w:basedOn w:val="a"/>
    <w:qFormat/>
    <w:rPr>
      <w:rFonts w:ascii="宋体" w:eastAsia="宋体" w:hAnsi="宋体" w:cs="宋体"/>
      <w:color w:val="auto"/>
      <w:kern w:val="2"/>
      <w:sz w:val="21"/>
      <w:szCs w:val="22"/>
      <w:lang w:val="zh-TW" w:eastAsia="zh-TW" w:bidi="zh-TW"/>
    </w:rPr>
  </w:style>
  <w:style w:type="paragraph" w:customStyle="1" w:styleId="Other1">
    <w:name w:val="Other|1"/>
    <w:basedOn w:val="a"/>
    <w:qFormat/>
    <w:pPr>
      <w:spacing w:after="100" w:line="480" w:lineRule="auto"/>
    </w:pPr>
    <w:rPr>
      <w:rFonts w:ascii="宋体" w:eastAsia="宋体" w:hAnsi="宋体" w:cs="宋体"/>
      <w:color w:val="auto"/>
      <w:kern w:val="2"/>
      <w:sz w:val="26"/>
      <w:szCs w:val="26"/>
      <w:lang w:val="zh-TW" w:eastAsia="zh-TW" w:bidi="zh-TW"/>
    </w:rPr>
  </w:style>
  <w:style w:type="paragraph" w:customStyle="1" w:styleId="Headerorfooter1">
    <w:name w:val="Header or footer|1"/>
    <w:basedOn w:val="a"/>
    <w:qFormat/>
    <w:rPr>
      <w:rFonts w:ascii="宋体" w:eastAsia="宋体" w:hAnsi="宋体" w:cs="宋体"/>
      <w:color w:val="auto"/>
      <w:kern w:val="2"/>
      <w:sz w:val="17"/>
      <w:szCs w:val="17"/>
      <w:lang w:val="zh-TW" w:eastAsia="zh-TW" w:bidi="zh-TW"/>
    </w:rPr>
  </w:style>
  <w:style w:type="paragraph" w:customStyle="1" w:styleId="Heading31">
    <w:name w:val="Heading #3|1"/>
    <w:basedOn w:val="a"/>
    <w:qFormat/>
    <w:pPr>
      <w:spacing w:after="270" w:line="598" w:lineRule="exact"/>
      <w:jc w:val="center"/>
      <w:outlineLvl w:val="2"/>
    </w:pPr>
    <w:rPr>
      <w:rFonts w:ascii="宋体" w:eastAsia="宋体" w:hAnsi="宋体" w:cs="宋体"/>
      <w:b/>
      <w:bCs/>
      <w:sz w:val="30"/>
      <w:szCs w:val="30"/>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Char">
    <w:name w:val="批注框文本 Char"/>
    <w:basedOn w:val="a0"/>
    <w:link w:val="a6"/>
    <w:qFormat/>
    <w:rPr>
      <w:rFonts w:ascii="Helvetica" w:eastAsia="仿宋_GB2312" w:hAnsi="Helvetica"/>
      <w:color w:val="000000"/>
      <w:sz w:val="18"/>
      <w:szCs w:val="18"/>
      <w:lang w:eastAsia="en-US" w:bidi="en-US"/>
    </w:rPr>
  </w:style>
  <w:style w:type="paragraph" w:styleId="ae">
    <w:name w:val="header"/>
    <w:basedOn w:val="a"/>
    <w:link w:val="Char3"/>
    <w:unhideWhenUsed/>
    <w:rsid w:val="00A1406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e"/>
    <w:rsid w:val="00A14066"/>
    <w:rPr>
      <w:rFonts w:eastAsia="仿宋_GB2312"/>
      <w:color w:val="000000"/>
      <w:sz w:val="18"/>
      <w:szCs w:val="18"/>
      <w:lang w:eastAsia="en-US" w:bidi="en-US"/>
    </w:rPr>
  </w:style>
  <w:style w:type="paragraph" w:styleId="af">
    <w:name w:val="footer"/>
    <w:basedOn w:val="a"/>
    <w:link w:val="Char4"/>
    <w:unhideWhenUsed/>
    <w:rsid w:val="00A14066"/>
    <w:pPr>
      <w:tabs>
        <w:tab w:val="center" w:pos="4153"/>
        <w:tab w:val="right" w:pos="8306"/>
      </w:tabs>
      <w:snapToGrid w:val="0"/>
      <w:spacing w:line="240" w:lineRule="atLeast"/>
    </w:pPr>
    <w:rPr>
      <w:sz w:val="18"/>
      <w:szCs w:val="18"/>
    </w:rPr>
  </w:style>
  <w:style w:type="character" w:customStyle="1" w:styleId="Char4">
    <w:name w:val="页脚 Char"/>
    <w:basedOn w:val="a0"/>
    <w:link w:val="af"/>
    <w:rsid w:val="00A14066"/>
    <w:rPr>
      <w:rFonts w:eastAsia="仿宋_GB2312"/>
      <w:color w:val="000000"/>
      <w:sz w:val="18"/>
      <w:szCs w:val="18"/>
      <w:lang w:eastAsia="en-US" w:bidi="en-US"/>
    </w:rPr>
  </w:style>
  <w:style w:type="paragraph" w:styleId="10">
    <w:name w:val="toc 1"/>
    <w:basedOn w:val="a"/>
    <w:next w:val="a"/>
    <w:uiPriority w:val="39"/>
    <w:unhideWhenUsed/>
    <w:qFormat/>
    <w:rsid w:val="00A14066"/>
    <w:rPr>
      <w:rFonts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lenovo</cp:lastModifiedBy>
  <cp:revision>9</cp:revision>
  <cp:lastPrinted>2022-04-14T08:50:00Z</cp:lastPrinted>
  <dcterms:created xsi:type="dcterms:W3CDTF">2021-02-24T08:31:00Z</dcterms:created>
  <dcterms:modified xsi:type="dcterms:W3CDTF">2022-04-18T10:25:00Z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273135390_btnclosed</vt:lpwstr>
  </property>
  <property fmtid="{D5CDD505-2E9C-101B-9397-08002B2CF9AE}" pid="4" name="ICV">
    <vt:lpwstr>2205B1236DFC426B8AE12F8252A009DC</vt:lpwstr>
  </property>
</Properties>
</file>